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82E" w:rsidRDefault="00A0082E" w:rsidP="00A0082E">
      <w:pPr>
        <w:rPr>
          <w:u w:val="single"/>
        </w:rPr>
      </w:pPr>
    </w:p>
    <w:p w:rsidR="00A0082E" w:rsidRDefault="00A0082E" w:rsidP="00A0082E">
      <w:pPr>
        <w:rPr>
          <w:u w:val="single"/>
        </w:rPr>
      </w:pPr>
      <w:r>
        <w:rPr>
          <w:u w:val="single"/>
        </w:rPr>
        <w:t>44) Определение размерности линейного пространства. Примеры бесконечномерных и конечномерных линейных пространств.</w:t>
      </w:r>
    </w:p>
    <w:p w:rsidR="00A0082E" w:rsidRPr="00C11570" w:rsidRDefault="00A0082E" w:rsidP="00A0082E">
      <w:pPr>
        <w:rPr>
          <w:u w:val="single"/>
        </w:rPr>
      </w:pPr>
      <w:r>
        <w:rPr>
          <w:rStyle w:val="mw-headline"/>
        </w:rPr>
        <w:t>Базис. Размерность</w:t>
      </w:r>
    </w:p>
    <w:p w:rsidR="00A0082E" w:rsidRDefault="00A0082E" w:rsidP="00A0082E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Конечная сумма вида</w:t>
      </w:r>
    </w:p>
    <w:p w:rsidR="00A0082E" w:rsidRDefault="00A0082E" w:rsidP="00A0082E">
      <w:pPr>
        <w:spacing w:after="0"/>
        <w:ind w:left="720"/>
      </w:pPr>
      <w:r>
        <w:rPr>
          <w:noProof/>
          <w:lang w:eastAsia="ru-RU"/>
        </w:rPr>
        <w:drawing>
          <wp:inline distT="0" distB="0" distL="0" distR="0">
            <wp:extent cx="2115820" cy="170180"/>
            <wp:effectExtent l="19050" t="0" r="0" b="0"/>
            <wp:docPr id="22" name="Рисунок 285" descr="\alpha_1\mathbf{x}_1 + \alpha_2\mathbf{x}_2 + \ldots + \alpha_n\mathbf{x}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\alpha_1\mathbf{x}_1 + \alpha_2\mathbf{x}_2 + \ldots + \alpha_n\mathbf{x}_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82E" w:rsidRDefault="00A0082E" w:rsidP="00A0082E">
      <w:pPr>
        <w:pStyle w:val="a3"/>
      </w:pPr>
      <w:r>
        <w:t xml:space="preserve">называется </w:t>
      </w:r>
      <w:r>
        <w:rPr>
          <w:b/>
          <w:bCs/>
        </w:rPr>
        <w:t>линейной комбинацией</w:t>
      </w:r>
      <w:r>
        <w:t xml:space="preserve"> элементов </w:t>
      </w:r>
      <w:r>
        <w:rPr>
          <w:noProof/>
        </w:rPr>
        <w:drawing>
          <wp:inline distT="0" distB="0" distL="0" distR="0">
            <wp:extent cx="1499235" cy="212725"/>
            <wp:effectExtent l="19050" t="0" r="5715" b="0"/>
            <wp:docPr id="23" name="Рисунок 286" descr="\mathbf{x}_1, \mathbf{x}_2, \ldots, \mathbf{x}_n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\mathbf{x}_1, \mathbf{x}_2, \ldots, \mathbf{x}_n \in 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с коэффициентами </w:t>
      </w:r>
      <w:r>
        <w:rPr>
          <w:noProof/>
        </w:rPr>
        <w:drawing>
          <wp:inline distT="0" distB="0" distL="0" distR="0">
            <wp:extent cx="1477645" cy="170180"/>
            <wp:effectExtent l="19050" t="0" r="8255" b="0"/>
            <wp:docPr id="24" name="Рисунок 287" descr="\alpha_1, \alpha_2, \ldots, \alpha_n \in 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\alpha_1, \alpha_2, \ldots, \alpha_n \in 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A0082E" w:rsidRDefault="00A0082E" w:rsidP="00A0082E">
      <w:pPr>
        <w:ind w:left="720"/>
      </w:pPr>
      <w:r>
        <w:t xml:space="preserve">Линейная комбинация называется </w:t>
      </w:r>
      <w:r>
        <w:rPr>
          <w:b/>
          <w:bCs/>
        </w:rPr>
        <w:t>нетривиальной</w:t>
      </w:r>
      <w:r>
        <w:t>, если хотя бы один из её коэффициентов отличен от нуля.</w:t>
      </w:r>
    </w:p>
    <w:p w:rsidR="00A0082E" w:rsidRDefault="00A0082E" w:rsidP="00A0082E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Элементы </w:t>
      </w:r>
      <w:r>
        <w:rPr>
          <w:noProof/>
          <w:lang w:eastAsia="ru-RU"/>
        </w:rPr>
        <w:drawing>
          <wp:inline distT="0" distB="0" distL="0" distR="0">
            <wp:extent cx="1116330" cy="159385"/>
            <wp:effectExtent l="19050" t="0" r="7620" b="0"/>
            <wp:docPr id="25" name="Рисунок 288" descr="\mathbf{x}_1, \mathbf{x}_2, \ldots, \mathbf{x}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\mathbf{x}_1, \mathbf{x}_2, \ldots, \mathbf{x}_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называются </w:t>
      </w:r>
      <w:r>
        <w:rPr>
          <w:b/>
          <w:bCs/>
        </w:rPr>
        <w:t>линейно зависимыми</w:t>
      </w:r>
      <w:r>
        <w:t xml:space="preserve">, если существует их нетривиальная линейная комбинация, равная </w:t>
      </w:r>
      <w:r>
        <w:rPr>
          <w:rStyle w:val="texhtml"/>
        </w:rPr>
        <w:t>θ</w:t>
      </w:r>
      <w:r>
        <w:t xml:space="preserve">. В противном случае эти элементы называются </w:t>
      </w:r>
      <w:r>
        <w:rPr>
          <w:b/>
          <w:bCs/>
        </w:rPr>
        <w:t>линейно независимыми</w:t>
      </w:r>
      <w:r>
        <w:t>.</w:t>
      </w:r>
    </w:p>
    <w:p w:rsidR="00A0082E" w:rsidRDefault="00A0082E" w:rsidP="00A0082E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Бесконечное подмножество векторов из </w:t>
      </w:r>
      <w:r>
        <w:rPr>
          <w:rStyle w:val="texhtml"/>
          <w:i/>
          <w:iCs/>
        </w:rPr>
        <w:t>L</w:t>
      </w:r>
      <w:r>
        <w:t xml:space="preserve"> называется линейно зависимым, если линейно зависимо его некоторое конечное подмножество, и линейно независимым, если любое его конечное подмножество линейно независимо.</w:t>
      </w:r>
    </w:p>
    <w:p w:rsidR="00A0082E" w:rsidRDefault="00A0082E" w:rsidP="00A0082E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Число элементов (мощность) максимального линейно независимого подмножества пространства не зависит от выбора этого подмножества и называется </w:t>
      </w:r>
      <w:r>
        <w:rPr>
          <w:b/>
          <w:bCs/>
        </w:rPr>
        <w:t>рангом</w:t>
      </w:r>
      <w:r>
        <w:t xml:space="preserve">, или </w:t>
      </w:r>
      <w:r>
        <w:rPr>
          <w:b/>
          <w:bCs/>
        </w:rPr>
        <w:t>размерностью</w:t>
      </w:r>
      <w:r>
        <w:t xml:space="preserve">, пространства, а само это подмножество — </w:t>
      </w:r>
      <w:hyperlink r:id="rId9" w:tooltip="Базис" w:history="1">
        <w:r>
          <w:rPr>
            <w:rStyle w:val="a4"/>
            <w:b/>
            <w:bCs/>
          </w:rPr>
          <w:t>базисом</w:t>
        </w:r>
      </w:hyperlink>
      <w:r>
        <w:t xml:space="preserve">. Элементы базиса также называют </w:t>
      </w:r>
      <w:r>
        <w:rPr>
          <w:b/>
          <w:bCs/>
        </w:rPr>
        <w:t>базисными векторами</w:t>
      </w:r>
      <w:r>
        <w:t xml:space="preserve">. Свойства базиса: </w:t>
      </w:r>
    </w:p>
    <w:p w:rsidR="00A0082E" w:rsidRDefault="00A0082E" w:rsidP="00A0082E">
      <w:pPr>
        <w:numPr>
          <w:ilvl w:val="1"/>
          <w:numId w:val="2"/>
        </w:numPr>
        <w:spacing w:before="100" w:beforeAutospacing="1" w:after="100" w:afterAutospacing="1" w:line="240" w:lineRule="auto"/>
      </w:pPr>
      <w:r>
        <w:t xml:space="preserve">Любые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линейно независимых элементов </w:t>
      </w:r>
      <w:r>
        <w:rPr>
          <w:rStyle w:val="texhtml"/>
          <w:i/>
          <w:iCs/>
        </w:rPr>
        <w:t>n</w:t>
      </w:r>
      <w:r>
        <w:t xml:space="preserve">-мерного пространства образуют </w:t>
      </w:r>
      <w:r>
        <w:rPr>
          <w:i/>
          <w:iCs/>
        </w:rPr>
        <w:t>базис</w:t>
      </w:r>
      <w:r>
        <w:t xml:space="preserve"> этого пространства.</w:t>
      </w:r>
    </w:p>
    <w:p w:rsidR="00A0082E" w:rsidRDefault="00A0082E" w:rsidP="00A0082E">
      <w:pPr>
        <w:numPr>
          <w:ilvl w:val="1"/>
          <w:numId w:val="2"/>
        </w:numPr>
        <w:spacing w:before="100" w:beforeAutospacing="1" w:after="100" w:afterAutospacing="1" w:line="240" w:lineRule="auto"/>
      </w:pPr>
      <w:r>
        <w:t xml:space="preserve">Любой вектор </w:t>
      </w:r>
      <w:r>
        <w:rPr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26" name="Рисунок 289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можно представить (единственным образом) в виде конечной линейной комбинации базисных элементов:</w:t>
      </w:r>
    </w:p>
    <w:p w:rsidR="00A0082E" w:rsidRDefault="00A0082E" w:rsidP="00A0082E">
      <w:pPr>
        <w:spacing w:after="0"/>
        <w:ind w:left="720"/>
      </w:pPr>
      <w:r>
        <w:rPr>
          <w:noProof/>
          <w:lang w:eastAsia="ru-RU"/>
        </w:rPr>
        <w:drawing>
          <wp:inline distT="0" distB="0" distL="0" distR="0">
            <wp:extent cx="2477135" cy="170180"/>
            <wp:effectExtent l="19050" t="0" r="0" b="0"/>
            <wp:docPr id="27" name="Рисунок 290" descr="\mathbf{x} = \alpha_1\mathbf{x}_1 + \alpha_2\mathbf{x}_2 + \ldots + \alpha_n\mathbf{x}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\mathbf{x} = \alpha_1\mathbf{x}_1 + \alpha_2\mathbf{x}_2 + \ldots + \alpha_n\mathbf{x}_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A0082E" w:rsidRDefault="00A0082E" w:rsidP="00A0082E">
      <w:pPr>
        <w:spacing w:after="0"/>
        <w:ind w:left="720"/>
      </w:pPr>
    </w:p>
    <w:p w:rsidR="00A0082E" w:rsidRDefault="00A0082E" w:rsidP="00A0082E">
      <w:pPr>
        <w:pStyle w:val="3"/>
      </w:pPr>
      <w:r>
        <w:rPr>
          <w:rStyle w:val="mw-headline"/>
        </w:rPr>
        <w:t>Связанные определения</w:t>
      </w:r>
    </w:p>
    <w:p w:rsidR="00A0082E" w:rsidRDefault="00A0082E" w:rsidP="00A0082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Линейное пространство называют </w:t>
      </w:r>
      <w:hyperlink r:id="rId12" w:tooltip="Конечномерное пространство" w:history="1">
        <w:r>
          <w:rPr>
            <w:rStyle w:val="a4"/>
            <w:i/>
            <w:iCs/>
          </w:rPr>
          <w:t>конечномерным</w:t>
        </w:r>
      </w:hyperlink>
      <w:r>
        <w:t xml:space="preserve">, если оно имеет конечный базис, и </w:t>
      </w:r>
      <w:r>
        <w:rPr>
          <w:i/>
          <w:iCs/>
        </w:rPr>
        <w:t>бесконечномерным</w:t>
      </w:r>
      <w:r>
        <w:t>, если оно не имеет конечного базиса.</w:t>
      </w:r>
    </w:p>
    <w:p w:rsidR="00A0082E" w:rsidRDefault="00A0082E" w:rsidP="00A0082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Представление вектора в виде (конечной) линейной комбинации базисных векторов называется </w:t>
      </w:r>
      <w:r>
        <w:rPr>
          <w:i/>
          <w:iCs/>
        </w:rPr>
        <w:t>разложением вектора по данному базису</w:t>
      </w:r>
      <w:r>
        <w:t xml:space="preserve"> </w:t>
      </w:r>
      <w:proofErr w:type="spellStart"/>
      <w:r>
        <w:t>Гамеля</w:t>
      </w:r>
      <w:proofErr w:type="spellEnd"/>
      <w:r>
        <w:t>.</w:t>
      </w:r>
    </w:p>
    <w:p w:rsidR="00A0082E" w:rsidRDefault="00A0082E" w:rsidP="00A0082E">
      <w:pPr>
        <w:pStyle w:val="3"/>
      </w:pPr>
      <w:r>
        <w:rPr>
          <w:rStyle w:val="mw-headline"/>
        </w:rPr>
        <w:t>Примеры</w:t>
      </w:r>
    </w:p>
    <w:p w:rsidR="00A0082E" w:rsidRDefault="00A0082E" w:rsidP="00A0082E">
      <w:pPr>
        <w:numPr>
          <w:ilvl w:val="0"/>
          <w:numId w:val="4"/>
        </w:numPr>
        <w:spacing w:before="100" w:beforeAutospacing="1" w:after="100" w:afterAutospacing="1" w:line="240" w:lineRule="auto"/>
      </w:pPr>
      <w:r>
        <w:t xml:space="preserve">Векторы </w:t>
      </w:r>
      <w:r>
        <w:rPr>
          <w:noProof/>
          <w:lang w:eastAsia="ru-RU"/>
        </w:rPr>
        <w:drawing>
          <wp:inline distT="0" distB="0" distL="0" distR="0">
            <wp:extent cx="988695" cy="127635"/>
            <wp:effectExtent l="19050" t="0" r="1905" b="0"/>
            <wp:docPr id="28" name="Рисунок 297" descr="e_1, e_2,\dots,e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e_1, e_2,\dots,e_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пространства </w:t>
      </w:r>
      <w:r>
        <w:rPr>
          <w:noProof/>
          <w:lang w:eastAsia="ru-RU"/>
        </w:rPr>
        <w:drawing>
          <wp:inline distT="0" distB="0" distL="0" distR="0">
            <wp:extent cx="223520" cy="138430"/>
            <wp:effectExtent l="19050" t="0" r="5080" b="0"/>
            <wp:docPr id="29" name="Рисунок 298" descr="\R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\R^n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образуют базис тогда и только тогда, когда </w:t>
      </w:r>
      <w:hyperlink r:id="rId15" w:tooltip="Определитель" w:history="1">
        <w:r>
          <w:rPr>
            <w:rStyle w:val="a4"/>
          </w:rPr>
          <w:t>определитель</w:t>
        </w:r>
      </w:hyperlink>
      <w:r>
        <w:t xml:space="preserve"> матрицы, составленной из координатных столбцов этих векторов, не равен 0: </w:t>
      </w:r>
      <w:r>
        <w:rPr>
          <w:noProof/>
          <w:lang w:eastAsia="ru-RU"/>
        </w:rPr>
        <w:drawing>
          <wp:inline distT="0" distB="0" distL="0" distR="0">
            <wp:extent cx="1775460" cy="191135"/>
            <wp:effectExtent l="19050" t="0" r="0" b="0"/>
            <wp:docPr id="30" name="Рисунок 299" descr="\det\{e_1, e_2,\dots,e_n\} \neq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\det\{e_1, e_2,\dots,e_n\} \neq 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A0082E" w:rsidRDefault="00A0082E" w:rsidP="00A0082E">
      <w:pPr>
        <w:numPr>
          <w:ilvl w:val="0"/>
          <w:numId w:val="4"/>
        </w:numPr>
        <w:spacing w:before="100" w:beforeAutospacing="1" w:after="100" w:afterAutospacing="1" w:line="240" w:lineRule="auto"/>
      </w:pPr>
      <w:r>
        <w:t xml:space="preserve">В пространстве всех </w:t>
      </w:r>
      <w:hyperlink r:id="rId17" w:tooltip="Многочлен" w:history="1">
        <w:r>
          <w:rPr>
            <w:rStyle w:val="a4"/>
          </w:rPr>
          <w:t>многочленов</w:t>
        </w:r>
      </w:hyperlink>
      <w:r>
        <w:t xml:space="preserve"> над полем один из базисов составляют степенные функции: </w:t>
      </w:r>
      <w:r>
        <w:rPr>
          <w:noProof/>
          <w:lang w:eastAsia="ru-RU"/>
        </w:rPr>
        <w:drawing>
          <wp:inline distT="0" distB="0" distL="0" distR="0">
            <wp:extent cx="1435100" cy="212725"/>
            <wp:effectExtent l="19050" t="0" r="0" b="0"/>
            <wp:docPr id="31" name="Рисунок 300" descr="1, x, x^2,\dots,x^n,\do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1, x, x^2,\dots,x^n,\dot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A0082E" w:rsidRDefault="00A0082E" w:rsidP="00A0082E">
      <w:pPr>
        <w:numPr>
          <w:ilvl w:val="0"/>
          <w:numId w:val="4"/>
        </w:numPr>
        <w:spacing w:before="100" w:beforeAutospacing="1" w:after="100" w:afterAutospacing="1" w:line="240" w:lineRule="auto"/>
      </w:pPr>
      <w:r>
        <w:lastRenderedPageBreak/>
        <w:t xml:space="preserve">Понятие базиса используется в бесконечномерном случае, </w:t>
      </w:r>
      <w:proofErr w:type="gramStart"/>
      <w:r>
        <w:t>например</w:t>
      </w:r>
      <w:proofErr w:type="gramEnd"/>
      <w:r>
        <w:t xml:space="preserve"> вещественные числа образуют линейное пространство над рациональными числами и оно имеет континуальный базис </w:t>
      </w:r>
      <w:proofErr w:type="spellStart"/>
      <w:r>
        <w:t>Гамеля</w:t>
      </w:r>
      <w:proofErr w:type="spellEnd"/>
      <w:r>
        <w:t xml:space="preserve"> и, соответственно, континуальную размерность.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622F"/>
    <w:multiLevelType w:val="multilevel"/>
    <w:tmpl w:val="1CFC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EE67E3"/>
    <w:multiLevelType w:val="multilevel"/>
    <w:tmpl w:val="5CD6E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9175CD"/>
    <w:multiLevelType w:val="multilevel"/>
    <w:tmpl w:val="FF4E1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665D62"/>
    <w:multiLevelType w:val="multilevel"/>
    <w:tmpl w:val="963C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082E"/>
    <w:rsid w:val="00A0082E"/>
    <w:rsid w:val="00B346F7"/>
    <w:rsid w:val="00E12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82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8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008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A0082E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A0082E"/>
    <w:rPr>
      <w:color w:val="0000FF"/>
      <w:u w:val="single"/>
    </w:rPr>
  </w:style>
  <w:style w:type="character" w:customStyle="1" w:styleId="texhtml">
    <w:name w:val="texhtml"/>
    <w:basedOn w:val="a0"/>
    <w:rsid w:val="00A0082E"/>
  </w:style>
  <w:style w:type="character" w:customStyle="1" w:styleId="mw-headline">
    <w:name w:val="mw-headline"/>
    <w:basedOn w:val="a0"/>
    <w:rsid w:val="00A0082E"/>
  </w:style>
  <w:style w:type="paragraph" w:styleId="a5">
    <w:name w:val="Balloon Text"/>
    <w:basedOn w:val="a"/>
    <w:link w:val="a6"/>
    <w:uiPriority w:val="99"/>
    <w:semiHidden/>
    <w:unhideWhenUsed/>
    <w:rsid w:val="00A00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08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ru.wikipedia.org/wiki/%D0%9A%D0%BE%D0%BD%D0%B5%D1%87%D0%BD%D0%BE%D0%BC%D0%B5%D1%80%D0%BD%D0%BE%D0%B5_%D0%BF%D1%80%D0%BE%D1%81%D1%82%D1%80%D0%B0%D0%BD%D1%81%D1%82%D0%B2%D0%BE" TargetMode="External"/><Relationship Id="rId17" Type="http://schemas.openxmlformats.org/officeDocument/2006/relationships/hyperlink" Target="http://ru.wikipedia.org/wiki/%D0%9C%D0%BD%D0%BE%D0%B3%D0%BE%D1%87%D0%BB%D0%B5%D0%BD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hyperlink" Target="http://ru.wikipedia.org/wiki/%D0%9E%D0%BF%D1%80%D0%B5%D0%B4%D0%B5%D0%BB%D0%B8%D1%82%D0%B5%D0%BB%D1%8C" TargetMode="Externa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1%D0%B0%D0%B7%D0%B8%D1%81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2010-01-17T16:04:00Z</dcterms:created>
  <dcterms:modified xsi:type="dcterms:W3CDTF">2010-01-17T16:04:00Z</dcterms:modified>
</cp:coreProperties>
</file>